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047429" w14:textId="77777777" w:rsidR="005F2C7A" w:rsidRDefault="005F2C7A" w:rsidP="00ED6C68">
      <w:pPr>
        <w:jc w:val="center"/>
        <w:rPr>
          <w:b/>
          <w:bCs/>
        </w:rPr>
      </w:pPr>
      <w:r w:rsidRPr="005F2C7A">
        <w:rPr>
          <w:b/>
          <w:bCs/>
        </w:rPr>
        <w:t>Lime Down Solar Park Project – CPRE Wiltshire Representation</w:t>
      </w:r>
    </w:p>
    <w:p w14:paraId="2CE8F5EE" w14:textId="77777777" w:rsidR="00ED6C68" w:rsidRDefault="00ED6C68" w:rsidP="00ED6C68">
      <w:pPr>
        <w:jc w:val="center"/>
        <w:rPr>
          <w:b/>
          <w:bCs/>
        </w:rPr>
      </w:pPr>
      <w:r>
        <w:rPr>
          <w:b/>
          <w:bCs/>
        </w:rPr>
        <w:t>At OFH</w:t>
      </w:r>
      <w:proofErr w:type="gramStart"/>
      <w:r>
        <w:rPr>
          <w:b/>
          <w:bCs/>
        </w:rPr>
        <w:t>1  21</w:t>
      </w:r>
      <w:proofErr w:type="gramEnd"/>
      <w:r>
        <w:rPr>
          <w:b/>
          <w:bCs/>
        </w:rPr>
        <w:t xml:space="preserve"> April 2026</w:t>
      </w:r>
    </w:p>
    <w:p w14:paraId="354E43DE" w14:textId="77777777" w:rsidR="00ED6C68" w:rsidRDefault="00ED6C68" w:rsidP="005F2C7A"/>
    <w:p w14:paraId="168E7006" w14:textId="77777777" w:rsidR="005F2C7A" w:rsidRPr="005F2C7A" w:rsidRDefault="005F2C7A" w:rsidP="005F2C7A">
      <w:r w:rsidRPr="005F2C7A">
        <w:t xml:space="preserve">CPRE Wiltshire is not opposed to net zero. We support the transition </w:t>
      </w:r>
      <w:r w:rsidR="00ED6C68">
        <w:t>to cleaner energy—but only when</w:t>
      </w:r>
      <w:r w:rsidRPr="005F2C7A">
        <w:t xml:space="preserve"> it is delivered with integrity, strategic foresight, and genuine respect for communities and landscapes.</w:t>
      </w:r>
    </w:p>
    <w:p w14:paraId="716C45E8" w14:textId="77777777" w:rsidR="005F2C7A" w:rsidRPr="005F2C7A" w:rsidRDefault="005F2C7A" w:rsidP="005F2C7A">
      <w:r w:rsidRPr="005F2C7A">
        <w:t>We advocate for a balanced approach: one that protects food security, rural livelihoods, and the character of the Wiltshire countryside, while still enabling innovation in energy generation.</w:t>
      </w:r>
    </w:p>
    <w:p w14:paraId="61C2CA2B" w14:textId="77777777" w:rsidR="005F2C7A" w:rsidRPr="005F2C7A" w:rsidRDefault="005F2C7A" w:rsidP="005F2C7A">
      <w:r w:rsidRPr="005F2C7A">
        <w:t>However, what we are currently witnessing is not balance.</w:t>
      </w:r>
    </w:p>
    <w:p w14:paraId="08D2BB40" w14:textId="77777777" w:rsidR="005F2C7A" w:rsidRPr="005F2C7A" w:rsidRDefault="005F2C7A" w:rsidP="005F2C7A">
      <w:r w:rsidRPr="005F2C7A">
        <w:t>Across Wiltshire, a patchwork of industrialisation is spreading through the countryside. Each individual proposal is pres</w:t>
      </w:r>
      <w:r w:rsidR="00ED6C68">
        <w:t>ented as isolated and capable of mitigation</w:t>
      </w:r>
      <w:r w:rsidRPr="005F2C7A">
        <w:t>, but collectively they are causing a creeping and cumulative transformation of the rural landscape.</w:t>
      </w:r>
    </w:p>
    <w:p w14:paraId="176641BF" w14:textId="77777777" w:rsidR="005F2C7A" w:rsidRPr="005F2C7A" w:rsidRDefault="005F2C7A" w:rsidP="005F2C7A">
      <w:r w:rsidRPr="005F2C7A">
        <w:t>This proposal is a clear example. It would result in substantial, widespread, and long-term harm to a highly sensitive area.</w:t>
      </w:r>
    </w:p>
    <w:p w14:paraId="48F4F867" w14:textId="77777777" w:rsidR="005F2C7A" w:rsidRPr="005F2C7A" w:rsidRDefault="005F2C7A" w:rsidP="005F2C7A">
      <w:r w:rsidRPr="005F2C7A">
        <w:t>We do not accept that a 60-year consent represents anything other than a permanent loss of countryside.</w:t>
      </w:r>
    </w:p>
    <w:p w14:paraId="78EA7436" w14:textId="77777777" w:rsidR="005F2C7A" w:rsidRPr="005F2C7A" w:rsidRDefault="005F2C7A" w:rsidP="005F2C7A">
      <w:r w:rsidRPr="005F2C7A">
        <w:t>There is a fundamental inconsistency in how the sensitivity and significance of the landscape—particularly in combination with heritage assets—has been assessed. This is most evident in the over-reliance on mitigation through screening.</w:t>
      </w:r>
    </w:p>
    <w:p w14:paraId="557931EE" w14:textId="77777777" w:rsidR="005F2C7A" w:rsidRPr="005F2C7A" w:rsidRDefault="005F2C7A" w:rsidP="005F2C7A">
      <w:r w:rsidRPr="005F2C7A">
        <w:t>The PEIR’s iterative design process, while framed as following the mitigation hierarchy, ultimately depends heavily on existing and proposed vegetation to screen views.</w:t>
      </w:r>
    </w:p>
    <w:p w14:paraId="257D4A1C" w14:textId="77777777" w:rsidR="005F2C7A" w:rsidRPr="005F2C7A" w:rsidRDefault="00ED6C68" w:rsidP="005F2C7A">
      <w:r>
        <w:t>L</w:t>
      </w:r>
      <w:r w:rsidR="005F2C7A" w:rsidRPr="005F2C7A">
        <w:t>andscape buffers are not neutral—they change the landscape itself. That harm is significantly underplayed.</w:t>
      </w:r>
    </w:p>
    <w:p w14:paraId="5290D50F" w14:textId="77777777" w:rsidR="005F2C7A" w:rsidRPr="005F2C7A" w:rsidRDefault="005F2C7A" w:rsidP="005F2C7A">
      <w:r w:rsidRPr="005F2C7A">
        <w:t>Screening takes time—typically up to 15 years to establish—and even then, full effectiveness is uncertain. If planting fails or underperforms, the level of visual and landscape harm at year 15 could be greater than predicted, meaning the overall adverse effects have been underestimated.</w:t>
      </w:r>
    </w:p>
    <w:p w14:paraId="194A85D4" w14:textId="77777777" w:rsidR="005F2C7A" w:rsidRPr="00E57EB8" w:rsidRDefault="005F2C7A" w:rsidP="005F2C7A">
      <w:pPr>
        <w:rPr>
          <w:u w:val="single"/>
        </w:rPr>
      </w:pPr>
      <w:r w:rsidRPr="00E57EB8">
        <w:rPr>
          <w:u w:val="single"/>
        </w:rPr>
        <w:t>There is also a deeper issue.</w:t>
      </w:r>
    </w:p>
    <w:p w14:paraId="5AFCE6A3" w14:textId="77777777" w:rsidR="005F2C7A" w:rsidRPr="005F2C7A" w:rsidRDefault="005F2C7A" w:rsidP="005F2C7A">
      <w:r w:rsidRPr="005F2C7A">
        <w:t>The historic environment and the surrounding landscape are not separate—they are historically and culturally entwined. The suggestion that this relationship can be broken for 60 years and then restored is simply not credible.</w:t>
      </w:r>
    </w:p>
    <w:p w14:paraId="3328E623" w14:textId="77777777" w:rsidR="005F2C7A" w:rsidRPr="005F2C7A" w:rsidRDefault="005F2C7A" w:rsidP="005F2C7A">
      <w:r w:rsidRPr="005F2C7A">
        <w:t>There is no evidence anywhere in the country that such restoration of landscape character and heritage context has been successfully achieved after development on this scale.</w:t>
      </w:r>
    </w:p>
    <w:p w14:paraId="4311AE46" w14:textId="77777777" w:rsidR="005F2C7A" w:rsidRPr="005F2C7A" w:rsidRDefault="005F2C7A" w:rsidP="005F2C7A">
      <w:r w:rsidRPr="00E57EB8">
        <w:rPr>
          <w:u w:val="single"/>
        </w:rPr>
        <w:t>Turning to policy</w:t>
      </w:r>
    </w:p>
    <w:p w14:paraId="185779F1" w14:textId="77777777" w:rsidR="005F2C7A" w:rsidRPr="005F2C7A" w:rsidRDefault="005F2C7A" w:rsidP="005F2C7A">
      <w:r w:rsidRPr="005F2C7A">
        <w:t>The recently published Land Use Framework states that by 2030, communities will have a greater say in the stewardship of the landscapes they value.</w:t>
      </w:r>
    </w:p>
    <w:p w14:paraId="6EEDC31A" w14:textId="77777777" w:rsidR="005F2C7A" w:rsidRPr="005F2C7A" w:rsidRDefault="005F2C7A" w:rsidP="005F2C7A">
      <w:r w:rsidRPr="005F2C7A">
        <w:t>Tha</w:t>
      </w:r>
      <w:r w:rsidR="00ED6C68">
        <w:t>t is only four years away—and if it is to</w:t>
      </w:r>
      <w:r w:rsidRPr="005F2C7A">
        <w:t xml:space="preserve"> a</w:t>
      </w:r>
      <w:r w:rsidR="00ED6C68">
        <w:t>pply to all land uses, that includes</w:t>
      </w:r>
      <w:r w:rsidRPr="005F2C7A">
        <w:t xml:space="preserve"> large-scale solar development.</w:t>
      </w:r>
    </w:p>
    <w:p w14:paraId="3262B142" w14:textId="77777777" w:rsidR="005F2C7A" w:rsidRPr="005F2C7A" w:rsidRDefault="005F2C7A" w:rsidP="005F2C7A">
      <w:r w:rsidRPr="005F2C7A">
        <w:lastRenderedPageBreak/>
        <w:t>The Framework also emphasises that rural communities should have meaningful input into local plans and strategies, ensuring that heritage, infrastructure, and the history of places—essentially the landscape as a whole—are properly reflected.</w:t>
      </w:r>
    </w:p>
    <w:p w14:paraId="0F3711B6" w14:textId="77777777" w:rsidR="00ED6C68" w:rsidRDefault="005F2C7A" w:rsidP="005F2C7A">
      <w:r w:rsidRPr="005F2C7A">
        <w:t>Yet the representations made today clearly demonstrate that rural communities do not feel their input is being reflected in current decision-making.</w:t>
      </w:r>
    </w:p>
    <w:p w14:paraId="4EAF39B3" w14:textId="77777777" w:rsidR="005F2C7A" w:rsidRPr="005F2C7A" w:rsidRDefault="00ED6C68" w:rsidP="005F2C7A">
      <w:r>
        <w:t>But</w:t>
      </w:r>
      <w:r w:rsidR="005F2C7A" w:rsidRPr="005F2C7A">
        <w:t xml:space="preserve"> why should they have confidence </w:t>
      </w:r>
      <w:r w:rsidR="00E57EB8">
        <w:t>in what the</w:t>
      </w:r>
      <w:r>
        <w:t xml:space="preserve"> Framework promises when community friendly Plan based </w:t>
      </w:r>
      <w:r w:rsidR="00E57EB8">
        <w:t xml:space="preserve">planning </w:t>
      </w:r>
      <w:r>
        <w:t xml:space="preserve">policies are already </w:t>
      </w:r>
      <w:r w:rsidR="00E57EB8">
        <w:t xml:space="preserve">being </w:t>
      </w:r>
      <w:r>
        <w:t>overridden.</w:t>
      </w:r>
    </w:p>
    <w:p w14:paraId="334565EA" w14:textId="77777777" w:rsidR="005F2C7A" w:rsidRPr="00E57EB8" w:rsidRDefault="00E57EB8" w:rsidP="005F2C7A">
      <w:r>
        <w:rPr>
          <w:u w:val="single"/>
        </w:rPr>
        <w:t>On energy need</w:t>
      </w:r>
    </w:p>
    <w:p w14:paraId="08638C57" w14:textId="77777777" w:rsidR="005F2C7A" w:rsidRPr="005F2C7A" w:rsidRDefault="005F2C7A" w:rsidP="005F2C7A">
      <w:r w:rsidRPr="005F2C7A">
        <w:t>Research conducted by University College London for</w:t>
      </w:r>
      <w:r w:rsidR="00BE24D2">
        <w:t xml:space="preserve"> The</w:t>
      </w:r>
      <w:r w:rsidRPr="005F2C7A">
        <w:t xml:space="preserve"> Campaign to Protect Rural England in 2023 indicates that the UK’s 70GW solar target could ultimately be met through urban and brownfield deployment alone.</w:t>
      </w:r>
    </w:p>
    <w:p w14:paraId="6E0BA046" w14:textId="77777777" w:rsidR="005F2C7A" w:rsidRPr="005F2C7A" w:rsidRDefault="005F2C7A" w:rsidP="005F2C7A">
      <w:r w:rsidRPr="005F2C7A">
        <w:t>This would allow for the gradual phasing out of greenfield solar after 2030.</w:t>
      </w:r>
    </w:p>
    <w:p w14:paraId="4F107FE3" w14:textId="77777777" w:rsidR="005F2C7A" w:rsidRPr="005F2C7A" w:rsidRDefault="005F2C7A" w:rsidP="005F2C7A">
      <w:r w:rsidRPr="005F2C7A">
        <w:t>The real barriers lie not in land availability, but in policy. These could be addressed through stronger planning measures, fiscal incentives, and by accelerating rooftop solar deployment, while also reducing overall energy demand.</w:t>
      </w:r>
    </w:p>
    <w:p w14:paraId="4706F504" w14:textId="77777777" w:rsidR="005F2C7A" w:rsidRPr="005F2C7A" w:rsidRDefault="005F2C7A" w:rsidP="005F2C7A">
      <w:r w:rsidRPr="005F2C7A">
        <w:t>In addition, data from the National Energy System Operator shows that renewable energy projects totalling around 760GW are currently awaiting grid connection.</w:t>
      </w:r>
    </w:p>
    <w:p w14:paraId="70F27437" w14:textId="77777777" w:rsidR="005F2C7A" w:rsidRPr="005F2C7A" w:rsidRDefault="005F2C7A" w:rsidP="005F2C7A">
      <w:r w:rsidRPr="005F2C7A">
        <w:t xml:space="preserve">This is far </w:t>
      </w:r>
      <w:proofErr w:type="gramStart"/>
      <w:r w:rsidRPr="005F2C7A">
        <w:t>in excess of</w:t>
      </w:r>
      <w:proofErr w:type="gramEnd"/>
      <w:r w:rsidRPr="005F2C7A">
        <w:t xml:space="preserve"> the government’s 2030 target of 150 to 225GW, suggesting that this proposed development is not only unnecessary, but contributes to an already unsustainable pipeline.</w:t>
      </w:r>
    </w:p>
    <w:p w14:paraId="2061530D" w14:textId="77777777" w:rsidR="005F2C7A" w:rsidRPr="005F2C7A" w:rsidRDefault="005F2C7A" w:rsidP="005F2C7A">
      <w:r w:rsidRPr="005F2C7A">
        <w:t>While some ground-mounted solar may be required in the short term, there is significant untapped potential elsewhere.</w:t>
      </w:r>
    </w:p>
    <w:p w14:paraId="50BBD0F2" w14:textId="77777777" w:rsidR="005F2C7A" w:rsidRPr="005F2C7A" w:rsidRDefault="005F2C7A" w:rsidP="005F2C7A">
      <w:r w:rsidRPr="005F2C7A">
        <w:t>Installing solar panels on new buildings, existing warehouse rooftops, and car parks could deliver between 40 and 50GW of low-carbon electricity—more than half of the UK’s 2035 solar target.</w:t>
      </w:r>
    </w:p>
    <w:p w14:paraId="504BA8BB" w14:textId="77777777" w:rsidR="005F2C7A" w:rsidRPr="005F2C7A" w:rsidRDefault="005F2C7A" w:rsidP="005F2C7A">
      <w:r w:rsidRPr="00E57EB8">
        <w:rPr>
          <w:u w:val="single"/>
        </w:rPr>
        <w:t>Finally, we must consider the broader context</w:t>
      </w:r>
      <w:r w:rsidRPr="005F2C7A">
        <w:t>.</w:t>
      </w:r>
    </w:p>
    <w:p w14:paraId="0194FF74" w14:textId="77777777" w:rsidR="005F2C7A" w:rsidRPr="005F2C7A" w:rsidRDefault="00E57EB8" w:rsidP="005F2C7A">
      <w:r>
        <w:t>CPRE describes</w:t>
      </w:r>
      <w:r w:rsidR="005F2C7A" w:rsidRPr="005F2C7A">
        <w:t xml:space="preserve"> developments of this scale as part of a market-driven bubble, fuelled by international investors.</w:t>
      </w:r>
    </w:p>
    <w:p w14:paraId="4C18BFBC" w14:textId="77777777" w:rsidR="005F2C7A" w:rsidRPr="005F2C7A" w:rsidRDefault="005F2C7A" w:rsidP="005F2C7A">
      <w:r w:rsidRPr="005F2C7A">
        <w:t>This proposal offers no meaningful local energy benefit to the people of Wiltshire. It is not a public utility—it is a commercial venture.</w:t>
      </w:r>
    </w:p>
    <w:p w14:paraId="6C806AC8" w14:textId="77777777" w:rsidR="005F2C7A" w:rsidRPr="005F2C7A" w:rsidRDefault="005F2C7A" w:rsidP="005F2C7A">
      <w:r w:rsidRPr="005F2C7A">
        <w:t>At its core, it represents the exploitation of the countryside: making the local environment poorer, while making overseas investors richer.</w:t>
      </w:r>
    </w:p>
    <w:p w14:paraId="158D7E02" w14:textId="77777777" w:rsidR="005F2C7A" w:rsidRPr="005F2C7A" w:rsidRDefault="00E57EB8" w:rsidP="005F2C7A">
      <w:r>
        <w:t>In conclusion</w:t>
      </w:r>
    </w:p>
    <w:p w14:paraId="7027D63C" w14:textId="77777777" w:rsidR="005F2C7A" w:rsidRPr="005F2C7A" w:rsidRDefault="005F2C7A" w:rsidP="005F2C7A">
      <w:r w:rsidRPr="005F2C7A">
        <w:t>This proposal would cause lasting harm to landscape, heritage, and community confidence. It is not necessary to meet energy targets, and it is not aligned with emerging policy on land use and community engagement.</w:t>
      </w:r>
    </w:p>
    <w:p w14:paraId="4352AEE3" w14:textId="77777777" w:rsidR="005F2C7A" w:rsidRPr="005F2C7A" w:rsidRDefault="00E57EB8" w:rsidP="005F2C7A">
      <w:r>
        <w:t>For the</w:t>
      </w:r>
      <w:r w:rsidR="005F2C7A" w:rsidRPr="005F2C7A">
        <w:t>se reasons, CPRE Wiltshire strongly objects.</w:t>
      </w:r>
    </w:p>
    <w:p w14:paraId="2873C602" w14:textId="77777777" w:rsidR="006E534C" w:rsidRDefault="006E534C"/>
    <w:sectPr w:rsidR="006E534C" w:rsidSect="00367C5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2C7A"/>
    <w:rsid w:val="00367C5B"/>
    <w:rsid w:val="003A2273"/>
    <w:rsid w:val="00443F87"/>
    <w:rsid w:val="005F2C7A"/>
    <w:rsid w:val="00675BB7"/>
    <w:rsid w:val="006E534C"/>
    <w:rsid w:val="00B5164E"/>
    <w:rsid w:val="00BE24D2"/>
    <w:rsid w:val="00DF39BF"/>
    <w:rsid w:val="00E57EB8"/>
    <w:rsid w:val="00ED6C6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31E9CE"/>
  <w15:docId w15:val="{8FB4A23D-CECF-4FFA-9AF3-63F33989E3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67C5B"/>
  </w:style>
  <w:style w:type="paragraph" w:styleId="Heading1">
    <w:name w:val="heading 1"/>
    <w:basedOn w:val="Normal"/>
    <w:next w:val="Normal"/>
    <w:link w:val="Heading1Char"/>
    <w:uiPriority w:val="9"/>
    <w:qFormat/>
    <w:rsid w:val="005F2C7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F2C7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F2C7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F2C7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F2C7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F2C7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F2C7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F2C7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F2C7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F2C7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F2C7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F2C7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F2C7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F2C7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F2C7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F2C7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F2C7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F2C7A"/>
    <w:rPr>
      <w:rFonts w:eastAsiaTheme="majorEastAsia" w:cstheme="majorBidi"/>
      <w:color w:val="272727" w:themeColor="text1" w:themeTint="D8"/>
    </w:rPr>
  </w:style>
  <w:style w:type="paragraph" w:styleId="Title">
    <w:name w:val="Title"/>
    <w:basedOn w:val="Normal"/>
    <w:next w:val="Normal"/>
    <w:link w:val="TitleChar"/>
    <w:uiPriority w:val="10"/>
    <w:qFormat/>
    <w:rsid w:val="005F2C7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F2C7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F2C7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F2C7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F2C7A"/>
    <w:pPr>
      <w:spacing w:before="160"/>
      <w:jc w:val="center"/>
    </w:pPr>
    <w:rPr>
      <w:i/>
      <w:iCs/>
      <w:color w:val="404040" w:themeColor="text1" w:themeTint="BF"/>
    </w:rPr>
  </w:style>
  <w:style w:type="character" w:customStyle="1" w:styleId="QuoteChar">
    <w:name w:val="Quote Char"/>
    <w:basedOn w:val="DefaultParagraphFont"/>
    <w:link w:val="Quote"/>
    <w:uiPriority w:val="29"/>
    <w:rsid w:val="005F2C7A"/>
    <w:rPr>
      <w:i/>
      <w:iCs/>
      <w:color w:val="404040" w:themeColor="text1" w:themeTint="BF"/>
    </w:rPr>
  </w:style>
  <w:style w:type="paragraph" w:styleId="ListParagraph">
    <w:name w:val="List Paragraph"/>
    <w:basedOn w:val="Normal"/>
    <w:uiPriority w:val="34"/>
    <w:qFormat/>
    <w:rsid w:val="005F2C7A"/>
    <w:pPr>
      <w:ind w:left="720"/>
      <w:contextualSpacing/>
    </w:pPr>
  </w:style>
  <w:style w:type="character" w:styleId="IntenseEmphasis">
    <w:name w:val="Intense Emphasis"/>
    <w:basedOn w:val="DefaultParagraphFont"/>
    <w:uiPriority w:val="21"/>
    <w:qFormat/>
    <w:rsid w:val="005F2C7A"/>
    <w:rPr>
      <w:i/>
      <w:iCs/>
      <w:color w:val="0F4761" w:themeColor="accent1" w:themeShade="BF"/>
    </w:rPr>
  </w:style>
  <w:style w:type="paragraph" w:styleId="IntenseQuote">
    <w:name w:val="Intense Quote"/>
    <w:basedOn w:val="Normal"/>
    <w:next w:val="Normal"/>
    <w:link w:val="IntenseQuoteChar"/>
    <w:uiPriority w:val="30"/>
    <w:qFormat/>
    <w:rsid w:val="005F2C7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F2C7A"/>
    <w:rPr>
      <w:i/>
      <w:iCs/>
      <w:color w:val="0F4761" w:themeColor="accent1" w:themeShade="BF"/>
    </w:rPr>
  </w:style>
  <w:style w:type="character" w:styleId="IntenseReference">
    <w:name w:val="Intense Reference"/>
    <w:basedOn w:val="DefaultParagraphFont"/>
    <w:uiPriority w:val="32"/>
    <w:qFormat/>
    <w:rsid w:val="005F2C7A"/>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746</Words>
  <Characters>4258</Characters>
  <Application>Microsoft Office Word</Application>
  <DocSecurity>4</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CPRE Admin</dc:creator>
  <cp:keywords/>
  <dc:description/>
  <cp:lastModifiedBy>CPRE Admin</cp:lastModifiedBy>
  <cp:revision>2</cp:revision>
  <dcterms:created xsi:type="dcterms:W3CDTF">2026-10-01T13:18:00Z</dcterms:created>
  <dcterms:modified xsi:type="dcterms:W3CDTF">2026-10-01T13:18:00Z</dcterms:modified>
</cp:coreProperties>
</file>